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993E" w14:textId="77777777" w:rsidR="005C2E53" w:rsidRDefault="005C2E53" w:rsidP="005C2E53">
      <w:pPr>
        <w:pStyle w:val="Heading1"/>
        <w:jc w:val="center"/>
      </w:pPr>
      <w:bookmarkStart w:id="0" w:name="_GoBack"/>
      <w:bookmarkEnd w:id="0"/>
      <w:r>
        <w:t>TEC Savers 2020</w:t>
      </w:r>
    </w:p>
    <w:p w14:paraId="270CC6DA" w14:textId="77777777" w:rsidR="005C2E53" w:rsidRDefault="005C2E53" w:rsidP="005C2E53">
      <w:pPr>
        <w:pStyle w:val="Heading1"/>
        <w:jc w:val="center"/>
      </w:pPr>
      <w:r>
        <w:t>Frequently Asked Questions</w:t>
      </w:r>
    </w:p>
    <w:p w14:paraId="0A913437" w14:textId="5084E3D9" w:rsidR="005C2E53" w:rsidRDefault="005C2E53" w:rsidP="005C2E53">
      <w:pPr>
        <w:pStyle w:val="ListParagraph"/>
        <w:numPr>
          <w:ilvl w:val="0"/>
          <w:numId w:val="1"/>
        </w:numPr>
        <w:jc w:val="both"/>
        <w:rPr>
          <w:b/>
        </w:rPr>
      </w:pPr>
      <w:r w:rsidRPr="00D2477C">
        <w:rPr>
          <w:b/>
        </w:rPr>
        <w:t xml:space="preserve"> What</w:t>
      </w:r>
      <w:r w:rsidR="001D34F4">
        <w:rPr>
          <w:b/>
        </w:rPr>
        <w:t xml:space="preserve"> is a TEC S</w:t>
      </w:r>
      <w:r w:rsidRPr="00D2477C">
        <w:rPr>
          <w:b/>
        </w:rPr>
        <w:t>aver?</w:t>
      </w:r>
    </w:p>
    <w:p w14:paraId="59FEF867" w14:textId="16A16624" w:rsidR="00CB0377" w:rsidRPr="00CB0377" w:rsidRDefault="005C2E53" w:rsidP="00CB0377">
      <w:pPr>
        <w:pStyle w:val="ListParagraph"/>
        <w:jc w:val="both"/>
      </w:pPr>
      <w:r>
        <w:rPr>
          <w:b/>
        </w:rPr>
        <w:t xml:space="preserve"> </w:t>
      </w:r>
      <w:r w:rsidR="00CB0377" w:rsidRPr="00CB0377">
        <w:t xml:space="preserve">A TEC saver means a </w:t>
      </w:r>
      <w:r w:rsidR="00C75A3C">
        <w:t>child</w:t>
      </w:r>
      <w:r w:rsidR="00CB0377" w:rsidRPr="00CB0377">
        <w:t xml:space="preserve"> who, prior to midnight February 14</w:t>
      </w:r>
      <w:r w:rsidR="00F02521">
        <w:t>,</w:t>
      </w:r>
      <w:r w:rsidR="00CB0377" w:rsidRPr="00CB0377">
        <w:t xml:space="preserve"> 2020 is registered on TEC, which will be superseded by NCS, who chooses not to move to NCS and instead retains their existing level of subsidy for an additional interim period. </w:t>
      </w:r>
    </w:p>
    <w:p w14:paraId="19D74079" w14:textId="77777777" w:rsidR="00CB0377" w:rsidRPr="00CB0377" w:rsidRDefault="00CB0377" w:rsidP="00CB0377">
      <w:pPr>
        <w:ind w:left="720"/>
        <w:contextualSpacing/>
        <w:jc w:val="both"/>
        <w:rPr>
          <w:b/>
        </w:rPr>
      </w:pPr>
      <w:r w:rsidRPr="00CB0377">
        <w:t xml:space="preserve">After this date no new registrations for children can be made on the TEC programmes.  </w:t>
      </w:r>
    </w:p>
    <w:p w14:paraId="687D4D1D" w14:textId="77777777" w:rsidR="00C40D01" w:rsidRDefault="00C40D01" w:rsidP="00CB0377">
      <w:pPr>
        <w:ind w:left="720"/>
        <w:contextualSpacing/>
        <w:jc w:val="both"/>
      </w:pPr>
    </w:p>
    <w:p w14:paraId="7EF6408F" w14:textId="7AEDEF1E" w:rsidR="00CB0377" w:rsidRPr="00CB0377" w:rsidRDefault="00CB0377" w:rsidP="00CB0377">
      <w:pPr>
        <w:ind w:left="720"/>
        <w:contextualSpacing/>
        <w:jc w:val="both"/>
      </w:pPr>
      <w:r w:rsidRPr="00CB0377">
        <w:t>Any amendments</w:t>
      </w:r>
      <w:r w:rsidR="00FE5901">
        <w:t>/top ups</w:t>
      </w:r>
      <w:r w:rsidRPr="00CB0377">
        <w:t xml:space="preserve"> required to TEC saver registrations can only be made during the TEC Saver management windows, which will open throughout the year.   However, it will be possible to submit Cancellations and Leavers at any time.</w:t>
      </w:r>
    </w:p>
    <w:p w14:paraId="3C4FAC08" w14:textId="4FACE917" w:rsidR="005C2E53" w:rsidRDefault="005C2E53" w:rsidP="005C2E53">
      <w:pPr>
        <w:pStyle w:val="ListParagraph"/>
        <w:numPr>
          <w:ilvl w:val="0"/>
          <w:numId w:val="1"/>
        </w:numPr>
        <w:jc w:val="both"/>
        <w:rPr>
          <w:b/>
        </w:rPr>
      </w:pPr>
      <w:r>
        <w:rPr>
          <w:b/>
        </w:rPr>
        <w:t>What if I have a registration that was declined before the 14</w:t>
      </w:r>
      <w:r w:rsidRPr="00857A3C">
        <w:rPr>
          <w:b/>
          <w:vertAlign w:val="superscript"/>
        </w:rPr>
        <w:t>th</w:t>
      </w:r>
      <w:r>
        <w:rPr>
          <w:b/>
        </w:rPr>
        <w:t xml:space="preserve"> of </w:t>
      </w:r>
      <w:r w:rsidR="00FD6584">
        <w:rPr>
          <w:b/>
        </w:rPr>
        <w:t>February?</w:t>
      </w:r>
      <w:r>
        <w:rPr>
          <w:b/>
        </w:rPr>
        <w:t xml:space="preserve">  Is this registration eligible for </w:t>
      </w:r>
      <w:r w:rsidR="00943428">
        <w:rPr>
          <w:b/>
        </w:rPr>
        <w:t xml:space="preserve">TEC </w:t>
      </w:r>
      <w:r>
        <w:rPr>
          <w:b/>
        </w:rPr>
        <w:t>saver status?</w:t>
      </w:r>
    </w:p>
    <w:p w14:paraId="0206A20F" w14:textId="77777777" w:rsidR="005C2E53" w:rsidRPr="00857A3C" w:rsidRDefault="005C2E53" w:rsidP="005C2E53">
      <w:pPr>
        <w:pStyle w:val="ListParagraph"/>
        <w:jc w:val="both"/>
      </w:pPr>
      <w:r w:rsidRPr="00857A3C">
        <w:t>No.  A registration must have a status of Approved, Provisional or submitted.</w:t>
      </w:r>
    </w:p>
    <w:p w14:paraId="5383CE7F" w14:textId="77777777" w:rsidR="005C2E53" w:rsidRDefault="005C2E53" w:rsidP="005C2E53">
      <w:pPr>
        <w:pStyle w:val="ListParagraph"/>
        <w:ind w:left="1080"/>
        <w:jc w:val="both"/>
      </w:pPr>
    </w:p>
    <w:p w14:paraId="0295CF0F" w14:textId="77777777" w:rsidR="005C2E53" w:rsidRDefault="005C2E53" w:rsidP="005C2E53">
      <w:pPr>
        <w:pStyle w:val="ListParagraph"/>
        <w:numPr>
          <w:ilvl w:val="0"/>
          <w:numId w:val="1"/>
        </w:numPr>
        <w:jc w:val="both"/>
        <w:rPr>
          <w:b/>
        </w:rPr>
      </w:pPr>
      <w:r w:rsidRPr="00D2477C">
        <w:rPr>
          <w:b/>
        </w:rPr>
        <w:t>When are the Saver management windows?</w:t>
      </w:r>
    </w:p>
    <w:p w14:paraId="3BE570C9" w14:textId="77777777" w:rsidR="005C2E53" w:rsidRDefault="005C2E53" w:rsidP="005C2E53">
      <w:pPr>
        <w:pStyle w:val="ListParagraph"/>
        <w:jc w:val="both"/>
        <w:rPr>
          <w:b/>
        </w:rPr>
      </w:pPr>
      <w:r w:rsidRPr="00857A3C">
        <w:t>The scheduled saver management windows are as follows</w:t>
      </w:r>
      <w:r>
        <w:rPr>
          <w:b/>
        </w:rPr>
        <w:t>:</w:t>
      </w:r>
    </w:p>
    <w:p w14:paraId="6C24B55F" w14:textId="77777777" w:rsidR="005C2E53" w:rsidRDefault="005C2E53" w:rsidP="005C2E53">
      <w:pPr>
        <w:pStyle w:val="ListParagraph"/>
        <w:jc w:val="both"/>
        <w:rPr>
          <w:b/>
        </w:rPr>
      </w:pPr>
    </w:p>
    <w:tbl>
      <w:tblPr>
        <w:tblStyle w:val="TableGrid"/>
        <w:tblW w:w="0" w:type="auto"/>
        <w:tblInd w:w="720" w:type="dxa"/>
        <w:tblLook w:val="04A0" w:firstRow="1" w:lastRow="0" w:firstColumn="1" w:lastColumn="0" w:noHBand="0" w:noVBand="1"/>
      </w:tblPr>
      <w:tblGrid>
        <w:gridCol w:w="4160"/>
        <w:gridCol w:w="4136"/>
      </w:tblGrid>
      <w:tr w:rsidR="005C2E53" w14:paraId="075AA16D" w14:textId="77777777" w:rsidTr="00CB4A45">
        <w:tc>
          <w:tcPr>
            <w:tcW w:w="8296" w:type="dxa"/>
            <w:gridSpan w:val="2"/>
            <w:shd w:val="clear" w:color="auto" w:fill="BDD6EE" w:themeFill="accent1" w:themeFillTint="66"/>
          </w:tcPr>
          <w:p w14:paraId="574EDBFF" w14:textId="77777777" w:rsidR="005C2E53" w:rsidRPr="00D2477C" w:rsidRDefault="005C2E53" w:rsidP="00CB4A45">
            <w:pPr>
              <w:pStyle w:val="ListParagraph"/>
              <w:ind w:left="0"/>
              <w:jc w:val="center"/>
              <w:rPr>
                <w:b/>
                <w:sz w:val="24"/>
                <w:szCs w:val="24"/>
              </w:rPr>
            </w:pPr>
            <w:r w:rsidRPr="00D2477C">
              <w:rPr>
                <w:b/>
                <w:sz w:val="24"/>
                <w:szCs w:val="24"/>
              </w:rPr>
              <w:t>Saver Management Windows</w:t>
            </w:r>
          </w:p>
        </w:tc>
      </w:tr>
      <w:tr w:rsidR="005C2E53" w14:paraId="46D7CE41" w14:textId="77777777" w:rsidTr="00CB4A45">
        <w:tc>
          <w:tcPr>
            <w:tcW w:w="4160" w:type="dxa"/>
            <w:shd w:val="clear" w:color="auto" w:fill="BDD6EE" w:themeFill="accent1" w:themeFillTint="66"/>
          </w:tcPr>
          <w:p w14:paraId="3AEF99A1" w14:textId="77777777" w:rsidR="005C2E53" w:rsidRDefault="005C2E53" w:rsidP="00CB4A45">
            <w:pPr>
              <w:pStyle w:val="ListParagraph"/>
              <w:ind w:left="0"/>
              <w:jc w:val="both"/>
              <w:rPr>
                <w:b/>
              </w:rPr>
            </w:pPr>
            <w:r>
              <w:rPr>
                <w:b/>
              </w:rPr>
              <w:t>From</w:t>
            </w:r>
          </w:p>
        </w:tc>
        <w:tc>
          <w:tcPr>
            <w:tcW w:w="4136" w:type="dxa"/>
            <w:shd w:val="clear" w:color="auto" w:fill="BDD6EE" w:themeFill="accent1" w:themeFillTint="66"/>
          </w:tcPr>
          <w:p w14:paraId="14E596D3" w14:textId="77777777" w:rsidR="005C2E53" w:rsidRDefault="005C2E53" w:rsidP="00CB4A45">
            <w:pPr>
              <w:pStyle w:val="ListParagraph"/>
              <w:ind w:left="0"/>
              <w:jc w:val="both"/>
              <w:rPr>
                <w:b/>
              </w:rPr>
            </w:pPr>
            <w:r>
              <w:rPr>
                <w:b/>
              </w:rPr>
              <w:t>To</w:t>
            </w:r>
          </w:p>
        </w:tc>
      </w:tr>
      <w:tr w:rsidR="005C2E53" w14:paraId="17BD3F2E" w14:textId="77777777" w:rsidTr="00CB4A45">
        <w:tc>
          <w:tcPr>
            <w:tcW w:w="4160" w:type="dxa"/>
          </w:tcPr>
          <w:p w14:paraId="601076E4" w14:textId="77777777" w:rsidR="005C2E53" w:rsidRDefault="005C2E53" w:rsidP="00CB4A45">
            <w:pPr>
              <w:pStyle w:val="ListParagraph"/>
              <w:ind w:left="0"/>
              <w:jc w:val="both"/>
              <w:rPr>
                <w:b/>
              </w:rPr>
            </w:pPr>
            <w:r>
              <w:rPr>
                <w:b/>
              </w:rPr>
              <w:t>February, 14</w:t>
            </w:r>
            <w:proofErr w:type="gramStart"/>
            <w:r w:rsidRPr="00D2477C">
              <w:rPr>
                <w:b/>
                <w:vertAlign w:val="superscript"/>
              </w:rPr>
              <w:t>th</w:t>
            </w:r>
            <w:r>
              <w:rPr>
                <w:b/>
              </w:rPr>
              <w:t xml:space="preserve"> ,</w:t>
            </w:r>
            <w:proofErr w:type="gramEnd"/>
            <w:r>
              <w:rPr>
                <w:b/>
              </w:rPr>
              <w:t xml:space="preserve"> 2020</w:t>
            </w:r>
          </w:p>
        </w:tc>
        <w:tc>
          <w:tcPr>
            <w:tcW w:w="4136" w:type="dxa"/>
          </w:tcPr>
          <w:p w14:paraId="72ADFC84" w14:textId="77777777" w:rsidR="005C2E53" w:rsidRDefault="005C2E53" w:rsidP="00CB4A45">
            <w:pPr>
              <w:pStyle w:val="ListParagraph"/>
              <w:ind w:left="0"/>
              <w:jc w:val="both"/>
              <w:rPr>
                <w:b/>
              </w:rPr>
            </w:pPr>
            <w:r>
              <w:rPr>
                <w:b/>
              </w:rPr>
              <w:t>March 9</w:t>
            </w:r>
            <w:proofErr w:type="gramStart"/>
            <w:r>
              <w:rPr>
                <w:b/>
                <w:vertAlign w:val="superscript"/>
              </w:rPr>
              <w:t>th</w:t>
            </w:r>
            <w:r>
              <w:rPr>
                <w:b/>
              </w:rPr>
              <w:t xml:space="preserve"> ,</w:t>
            </w:r>
            <w:proofErr w:type="gramEnd"/>
            <w:r>
              <w:rPr>
                <w:b/>
              </w:rPr>
              <w:t xml:space="preserve"> 2020</w:t>
            </w:r>
          </w:p>
        </w:tc>
      </w:tr>
      <w:tr w:rsidR="005C2E53" w14:paraId="4665D17F" w14:textId="77777777" w:rsidTr="00CB4A45">
        <w:tc>
          <w:tcPr>
            <w:tcW w:w="4160" w:type="dxa"/>
          </w:tcPr>
          <w:p w14:paraId="522D787D" w14:textId="77777777" w:rsidR="005C2E53" w:rsidRDefault="005C2E53" w:rsidP="00CB4A45">
            <w:pPr>
              <w:pStyle w:val="ListParagraph"/>
              <w:ind w:left="0"/>
              <w:jc w:val="both"/>
              <w:rPr>
                <w:b/>
              </w:rPr>
            </w:pPr>
            <w:r>
              <w:rPr>
                <w:b/>
              </w:rPr>
              <w:t>April 3</w:t>
            </w:r>
            <w:r w:rsidRPr="00D2477C">
              <w:rPr>
                <w:b/>
                <w:vertAlign w:val="superscript"/>
              </w:rPr>
              <w:t>rd</w:t>
            </w:r>
            <w:r>
              <w:rPr>
                <w:b/>
              </w:rPr>
              <w:t>, 2020</w:t>
            </w:r>
          </w:p>
        </w:tc>
        <w:tc>
          <w:tcPr>
            <w:tcW w:w="4136" w:type="dxa"/>
          </w:tcPr>
          <w:p w14:paraId="357436C4" w14:textId="77777777" w:rsidR="005C2E53" w:rsidRDefault="005C2E53" w:rsidP="00CB4A45">
            <w:pPr>
              <w:pStyle w:val="ListParagraph"/>
              <w:ind w:left="0"/>
              <w:jc w:val="both"/>
              <w:rPr>
                <w:b/>
              </w:rPr>
            </w:pPr>
            <w:r>
              <w:rPr>
                <w:b/>
              </w:rPr>
              <w:t>April 27</w:t>
            </w:r>
            <w:proofErr w:type="gramStart"/>
            <w:r w:rsidRPr="00D2477C">
              <w:rPr>
                <w:b/>
                <w:vertAlign w:val="superscript"/>
              </w:rPr>
              <w:t>th</w:t>
            </w:r>
            <w:r>
              <w:rPr>
                <w:b/>
              </w:rPr>
              <w:t xml:space="preserve"> ,</w:t>
            </w:r>
            <w:proofErr w:type="gramEnd"/>
            <w:r>
              <w:rPr>
                <w:b/>
              </w:rPr>
              <w:t xml:space="preserve"> 2020</w:t>
            </w:r>
          </w:p>
        </w:tc>
      </w:tr>
      <w:tr w:rsidR="005C2E53" w14:paraId="142CD7D0" w14:textId="77777777" w:rsidTr="00CB4A45">
        <w:tc>
          <w:tcPr>
            <w:tcW w:w="4160" w:type="dxa"/>
          </w:tcPr>
          <w:p w14:paraId="4B22DC3D" w14:textId="77777777" w:rsidR="005C2E53" w:rsidRDefault="005C2E53" w:rsidP="00CB4A45">
            <w:pPr>
              <w:pStyle w:val="ListParagraph"/>
              <w:ind w:left="0"/>
              <w:jc w:val="both"/>
              <w:rPr>
                <w:b/>
              </w:rPr>
            </w:pPr>
            <w:r>
              <w:rPr>
                <w:b/>
              </w:rPr>
              <w:t>June 26</w:t>
            </w:r>
            <w:proofErr w:type="gramStart"/>
            <w:r w:rsidRPr="00D2477C">
              <w:rPr>
                <w:b/>
                <w:vertAlign w:val="superscript"/>
              </w:rPr>
              <w:t>th</w:t>
            </w:r>
            <w:r>
              <w:rPr>
                <w:b/>
              </w:rPr>
              <w:t xml:space="preserve"> ,</w:t>
            </w:r>
            <w:proofErr w:type="gramEnd"/>
            <w:r>
              <w:rPr>
                <w:b/>
              </w:rPr>
              <w:t xml:space="preserve"> 2020</w:t>
            </w:r>
          </w:p>
        </w:tc>
        <w:tc>
          <w:tcPr>
            <w:tcW w:w="4136" w:type="dxa"/>
          </w:tcPr>
          <w:p w14:paraId="1367E79B" w14:textId="77777777" w:rsidR="005C2E53" w:rsidRDefault="005C2E53" w:rsidP="00CB4A45">
            <w:pPr>
              <w:pStyle w:val="ListParagraph"/>
              <w:ind w:left="0"/>
              <w:jc w:val="both"/>
              <w:rPr>
                <w:b/>
              </w:rPr>
            </w:pPr>
            <w:r>
              <w:rPr>
                <w:b/>
              </w:rPr>
              <w:t>July 20</w:t>
            </w:r>
            <w:r w:rsidRPr="00D2477C">
              <w:rPr>
                <w:b/>
                <w:vertAlign w:val="superscript"/>
              </w:rPr>
              <w:t>th</w:t>
            </w:r>
            <w:r>
              <w:rPr>
                <w:b/>
              </w:rPr>
              <w:t>, 2020</w:t>
            </w:r>
          </w:p>
        </w:tc>
      </w:tr>
    </w:tbl>
    <w:p w14:paraId="17600A60" w14:textId="77777777" w:rsidR="005C2E53" w:rsidRDefault="005C2E53" w:rsidP="005C2E53">
      <w:pPr>
        <w:pStyle w:val="ListParagraph"/>
        <w:jc w:val="both"/>
        <w:rPr>
          <w:b/>
        </w:rPr>
      </w:pPr>
    </w:p>
    <w:p w14:paraId="49564F18" w14:textId="5B59864F" w:rsidR="003B3FCB" w:rsidRPr="00B93A0F" w:rsidRDefault="00B93A0F" w:rsidP="00B93A0F">
      <w:pPr>
        <w:pStyle w:val="ListParagraph"/>
        <w:widowControl w:val="0"/>
        <w:numPr>
          <w:ilvl w:val="0"/>
          <w:numId w:val="4"/>
        </w:numPr>
        <w:tabs>
          <w:tab w:val="left" w:pos="481"/>
        </w:tabs>
        <w:autoSpaceDE w:val="0"/>
        <w:autoSpaceDN w:val="0"/>
        <w:spacing w:before="38" w:after="0" w:line="240" w:lineRule="auto"/>
        <w:outlineLvl w:val="0"/>
        <w:rPr>
          <w:rFonts w:eastAsiaTheme="majorEastAsia" w:cstheme="minorHAnsi"/>
          <w:b/>
        </w:rPr>
      </w:pPr>
      <w:r>
        <w:rPr>
          <w:rFonts w:eastAsiaTheme="majorEastAsia" w:cstheme="minorHAnsi"/>
          <w:b/>
        </w:rPr>
        <w:t xml:space="preserve">  </w:t>
      </w:r>
      <w:r w:rsidR="003B3FCB" w:rsidRPr="00B93A0F">
        <w:rPr>
          <w:rFonts w:eastAsiaTheme="majorEastAsia" w:cstheme="minorHAnsi"/>
          <w:b/>
        </w:rPr>
        <w:t>Will I be able to register new children during the saver management</w:t>
      </w:r>
      <w:r w:rsidR="003B3FCB" w:rsidRPr="00B93A0F">
        <w:rPr>
          <w:rFonts w:eastAsiaTheme="majorEastAsia" w:cstheme="minorHAnsi"/>
          <w:b/>
          <w:spacing w:val="-19"/>
        </w:rPr>
        <w:t xml:space="preserve"> </w:t>
      </w:r>
      <w:r w:rsidR="003B3FCB" w:rsidRPr="00B93A0F">
        <w:rPr>
          <w:rFonts w:eastAsiaTheme="majorEastAsia" w:cstheme="minorHAnsi"/>
          <w:b/>
        </w:rPr>
        <w:t>windows?</w:t>
      </w:r>
    </w:p>
    <w:p w14:paraId="0F251D4F" w14:textId="69873548" w:rsidR="003B3FCB" w:rsidRPr="003B3FCB" w:rsidRDefault="003B3FCB" w:rsidP="003B3FCB">
      <w:pPr>
        <w:widowControl w:val="0"/>
        <w:autoSpaceDE w:val="0"/>
        <w:autoSpaceDN w:val="0"/>
        <w:spacing w:before="186" w:after="0" w:line="256" w:lineRule="auto"/>
        <w:ind w:left="709" w:right="114" w:hanging="283"/>
        <w:jc w:val="both"/>
        <w:rPr>
          <w:rFonts w:ascii="Calibri" w:eastAsia="Calibri" w:hAnsi="Calibri" w:cs="Calibri"/>
          <w:lang w:eastAsia="en-IE" w:bidi="en-IE"/>
        </w:rPr>
      </w:pPr>
      <w:r w:rsidRPr="003B3FCB">
        <w:rPr>
          <w:rFonts w:ascii="Calibri" w:eastAsia="Calibri" w:hAnsi="Calibri" w:cs="Calibri"/>
          <w:lang w:eastAsia="en-IE" w:bidi="en-IE"/>
        </w:rPr>
        <w:t xml:space="preserve">     </w:t>
      </w:r>
      <w:r w:rsidR="00293CB4">
        <w:rPr>
          <w:rFonts w:ascii="Calibri" w:eastAsia="Calibri" w:hAnsi="Calibri" w:cs="Calibri"/>
          <w:lang w:eastAsia="en-IE" w:bidi="en-IE"/>
        </w:rPr>
        <w:t xml:space="preserve"> </w:t>
      </w:r>
      <w:r w:rsidRPr="003B3FCB">
        <w:rPr>
          <w:rFonts w:ascii="Calibri" w:eastAsia="Calibri" w:hAnsi="Calibri" w:cs="Calibri"/>
          <w:lang w:eastAsia="en-IE" w:bidi="en-IE"/>
        </w:rPr>
        <w:t>No. If a child is registered on PIP during the saver management windows that was not an eligible saver on 14</w:t>
      </w:r>
      <w:r w:rsidRPr="003B3FCB">
        <w:rPr>
          <w:rFonts w:ascii="Calibri" w:eastAsia="Calibri" w:hAnsi="Calibri" w:cs="Calibri"/>
          <w:vertAlign w:val="superscript"/>
          <w:lang w:eastAsia="en-IE" w:bidi="en-IE"/>
        </w:rPr>
        <w:t>th</w:t>
      </w:r>
      <w:r w:rsidRPr="003B3FCB">
        <w:rPr>
          <w:rFonts w:ascii="Calibri" w:eastAsia="Calibri" w:hAnsi="Calibri" w:cs="Calibri"/>
          <w:lang w:eastAsia="en-IE" w:bidi="en-IE"/>
        </w:rPr>
        <w:t xml:space="preserve"> February 2020, it will be declined by </w:t>
      </w:r>
      <w:proofErr w:type="spellStart"/>
      <w:r w:rsidRPr="003B3FCB">
        <w:rPr>
          <w:rFonts w:ascii="Calibri" w:eastAsia="Calibri" w:hAnsi="Calibri" w:cs="Calibri"/>
          <w:lang w:eastAsia="en-IE" w:bidi="en-IE"/>
        </w:rPr>
        <w:t>Pobal</w:t>
      </w:r>
      <w:proofErr w:type="spellEnd"/>
      <w:r w:rsidRPr="003B3FCB">
        <w:rPr>
          <w:rFonts w:ascii="Calibri" w:eastAsia="Calibri" w:hAnsi="Calibri" w:cs="Calibri"/>
          <w:lang w:eastAsia="en-IE" w:bidi="en-IE"/>
        </w:rPr>
        <w:t>. However, if a child is an eligible saver (as defined above) a service provider can make new registrations</w:t>
      </w:r>
      <w:r w:rsidR="00D04A40">
        <w:rPr>
          <w:rFonts w:ascii="Calibri" w:eastAsia="Calibri" w:hAnsi="Calibri" w:cs="Calibri"/>
          <w:lang w:eastAsia="en-IE" w:bidi="en-IE"/>
        </w:rPr>
        <w:t>/top ups</w:t>
      </w:r>
      <w:r w:rsidRPr="003B3FCB">
        <w:rPr>
          <w:rFonts w:ascii="Calibri" w:eastAsia="Calibri" w:hAnsi="Calibri" w:cs="Calibri"/>
          <w:lang w:eastAsia="en-IE" w:bidi="en-IE"/>
        </w:rPr>
        <w:t xml:space="preserve"> for that child during the saver management windows. </w:t>
      </w:r>
    </w:p>
    <w:p w14:paraId="27BE0FCD" w14:textId="77777777" w:rsidR="006139CB" w:rsidRPr="00CB0377" w:rsidRDefault="006139CB" w:rsidP="00D7559D">
      <w:pPr>
        <w:pStyle w:val="BodyText"/>
        <w:spacing w:before="186" w:line="256" w:lineRule="auto"/>
        <w:ind w:left="709" w:right="114" w:hanging="283"/>
        <w:jc w:val="both"/>
      </w:pPr>
    </w:p>
    <w:p w14:paraId="20B6C1DE" w14:textId="78F827CC" w:rsidR="005C2E53" w:rsidRDefault="005C2E53" w:rsidP="00B93A0F">
      <w:pPr>
        <w:pStyle w:val="ListParagraph"/>
        <w:numPr>
          <w:ilvl w:val="0"/>
          <w:numId w:val="4"/>
        </w:numPr>
        <w:jc w:val="both"/>
      </w:pPr>
      <w:r w:rsidRPr="00B93A0F">
        <w:rPr>
          <w:b/>
        </w:rPr>
        <w:t>What if I need to make a cancellation or a leaver for an existing registration outside of a saver management window</w:t>
      </w:r>
      <w:r>
        <w:t>?</w:t>
      </w:r>
    </w:p>
    <w:p w14:paraId="1E3834E5" w14:textId="77777777" w:rsidR="005C2E53" w:rsidRDefault="005C2E53" w:rsidP="005C2E53">
      <w:pPr>
        <w:ind w:left="720"/>
        <w:jc w:val="both"/>
      </w:pPr>
      <w:r>
        <w:t>Cancellations and Leavers can be submitted at any time.</w:t>
      </w:r>
    </w:p>
    <w:p w14:paraId="6D520776" w14:textId="77777777" w:rsidR="005C2E53" w:rsidRDefault="005C2E53" w:rsidP="00B93A0F">
      <w:pPr>
        <w:pStyle w:val="ListParagraph"/>
        <w:numPr>
          <w:ilvl w:val="0"/>
          <w:numId w:val="4"/>
        </w:numPr>
        <w:jc w:val="both"/>
        <w:rPr>
          <w:b/>
        </w:rPr>
      </w:pPr>
      <w:r w:rsidRPr="00D2477C">
        <w:rPr>
          <w:b/>
        </w:rPr>
        <w:t xml:space="preserve">What </w:t>
      </w:r>
      <w:r>
        <w:rPr>
          <w:b/>
        </w:rPr>
        <w:t>if a saver child is absent</w:t>
      </w:r>
      <w:r w:rsidRPr="00D2477C">
        <w:rPr>
          <w:b/>
        </w:rPr>
        <w:t xml:space="preserve"> and does not attend for </w:t>
      </w:r>
      <w:proofErr w:type="gramStart"/>
      <w:r w:rsidRPr="00D2477C">
        <w:rPr>
          <w:b/>
        </w:rPr>
        <w:t>a period of time</w:t>
      </w:r>
      <w:proofErr w:type="gramEnd"/>
      <w:r w:rsidRPr="00D2477C">
        <w:rPr>
          <w:b/>
        </w:rPr>
        <w:t>?</w:t>
      </w:r>
    </w:p>
    <w:p w14:paraId="7EF524A3" w14:textId="4A441473" w:rsidR="005C2E53" w:rsidRDefault="005C2E53" w:rsidP="005C2E53">
      <w:pPr>
        <w:pStyle w:val="ListParagraph"/>
        <w:jc w:val="both"/>
      </w:pPr>
      <w:r w:rsidRPr="00D2477C">
        <w:t xml:space="preserve">Absences should </w:t>
      </w:r>
      <w:r>
        <w:t>be dealt with as normal and with</w:t>
      </w:r>
      <w:r w:rsidRPr="00D2477C">
        <w:t xml:space="preserve">in the DCYA Transitional Rules for DCYA Targeted Childcare programmes. </w:t>
      </w:r>
      <w:r>
        <w:t xml:space="preserve">  </w:t>
      </w:r>
    </w:p>
    <w:p w14:paraId="22CB7337" w14:textId="4594CD42" w:rsidR="0003207E" w:rsidRDefault="002516D2" w:rsidP="002516D2">
      <w:pPr>
        <w:pStyle w:val="BodyText"/>
        <w:spacing w:before="22" w:line="256" w:lineRule="auto"/>
        <w:ind w:right="113"/>
        <w:jc w:val="both"/>
        <w:rPr>
          <w:b/>
        </w:rPr>
      </w:pPr>
      <w:r>
        <w:rPr>
          <w:b/>
        </w:rPr>
        <w:t xml:space="preserve">       7</w:t>
      </w:r>
      <w:r w:rsidR="0003207E">
        <w:rPr>
          <w:b/>
        </w:rPr>
        <w:t xml:space="preserve">  </w:t>
      </w:r>
      <w:r>
        <w:rPr>
          <w:b/>
        </w:rPr>
        <w:t xml:space="preserve">   </w:t>
      </w:r>
      <w:r w:rsidR="0003207E">
        <w:rPr>
          <w:b/>
        </w:rPr>
        <w:t>What if a child is absent due to exceptional circumstances?</w:t>
      </w:r>
    </w:p>
    <w:p w14:paraId="4D1CDC25" w14:textId="0F36ED1A" w:rsidR="004E6057" w:rsidRDefault="004E6057" w:rsidP="004E6057">
      <w:pPr>
        <w:pStyle w:val="ListParagraph"/>
        <w:jc w:val="both"/>
      </w:pPr>
      <w:r>
        <w:t>Exceptional circumstances</w:t>
      </w:r>
      <w:r w:rsidRPr="00D2477C">
        <w:t xml:space="preserve"> should </w:t>
      </w:r>
      <w:r>
        <w:t>be dealt with as normal and with</w:t>
      </w:r>
      <w:r w:rsidRPr="00D2477C">
        <w:t xml:space="preserve">in the DCYA Transitional Rules for DCYA Targeted Childcare programmes. </w:t>
      </w:r>
      <w:r>
        <w:t xml:space="preserve">  </w:t>
      </w:r>
    </w:p>
    <w:p w14:paraId="795708FB" w14:textId="77777777" w:rsidR="0003207E" w:rsidRDefault="0003207E" w:rsidP="005C2E53">
      <w:pPr>
        <w:pStyle w:val="ListParagraph"/>
        <w:jc w:val="both"/>
      </w:pPr>
    </w:p>
    <w:p w14:paraId="5A331DB8" w14:textId="39770EA4" w:rsidR="005C2E53" w:rsidRPr="0003207E" w:rsidRDefault="002516D2" w:rsidP="002516D2">
      <w:pPr>
        <w:pStyle w:val="ListParagraph"/>
        <w:numPr>
          <w:ilvl w:val="0"/>
          <w:numId w:val="2"/>
        </w:numPr>
        <w:ind w:hanging="218"/>
        <w:jc w:val="both"/>
        <w:rPr>
          <w:b/>
        </w:rPr>
      </w:pPr>
      <w:r>
        <w:rPr>
          <w:b/>
        </w:rPr>
        <w:lastRenderedPageBreak/>
        <w:t xml:space="preserve">    </w:t>
      </w:r>
      <w:r w:rsidR="005C2E53" w:rsidRPr="0003207E">
        <w:rPr>
          <w:b/>
        </w:rPr>
        <w:t>If a child cannot register for TEC are there any other supports available?</w:t>
      </w:r>
    </w:p>
    <w:p w14:paraId="760813F3" w14:textId="77777777" w:rsidR="005C2E53" w:rsidRDefault="005C2E53" w:rsidP="005C2E53">
      <w:pPr>
        <w:ind w:left="720"/>
        <w:jc w:val="both"/>
      </w:pPr>
      <w:r w:rsidRPr="00CB1319">
        <w:t>Yes.   The National Childcare Scheme has been open for registrations from 20</w:t>
      </w:r>
      <w:r w:rsidRPr="00CB1319">
        <w:rPr>
          <w:vertAlign w:val="superscript"/>
        </w:rPr>
        <w:t>th</w:t>
      </w:r>
      <w:r w:rsidRPr="00CB1319">
        <w:t xml:space="preserve"> November.</w:t>
      </w:r>
      <w:r>
        <w:t xml:space="preserve">   </w:t>
      </w:r>
    </w:p>
    <w:p w14:paraId="2226C242" w14:textId="77777777" w:rsidR="005C2E53" w:rsidRDefault="005C2E53" w:rsidP="00974F23">
      <w:pPr>
        <w:pStyle w:val="ListParagraph"/>
        <w:numPr>
          <w:ilvl w:val="0"/>
          <w:numId w:val="2"/>
        </w:numPr>
        <w:ind w:hanging="218"/>
        <w:jc w:val="both"/>
        <w:rPr>
          <w:b/>
        </w:rPr>
      </w:pPr>
      <w:r w:rsidRPr="00707AF4">
        <w:rPr>
          <w:b/>
        </w:rPr>
        <w:t xml:space="preserve">Can a child be registered on NCS and </w:t>
      </w:r>
      <w:r>
        <w:rPr>
          <w:b/>
        </w:rPr>
        <w:t>TEC</w:t>
      </w:r>
      <w:r w:rsidRPr="00707AF4">
        <w:rPr>
          <w:b/>
        </w:rPr>
        <w:t xml:space="preserve"> for the same period?</w:t>
      </w:r>
    </w:p>
    <w:p w14:paraId="43F711AD" w14:textId="1FC57292" w:rsidR="005C2E53" w:rsidRDefault="001F1D81" w:rsidP="005C2E53">
      <w:pPr>
        <w:ind w:left="720"/>
        <w:jc w:val="both"/>
      </w:pPr>
      <w:r w:rsidRPr="001F1D81">
        <w:t xml:space="preserve">No.  Once a claim is in payment on NCS, </w:t>
      </w:r>
      <w:proofErr w:type="spellStart"/>
      <w:r w:rsidRPr="001F1D81">
        <w:t>Pobal</w:t>
      </w:r>
      <w:proofErr w:type="spellEnd"/>
      <w:r w:rsidRPr="001F1D81">
        <w:t xml:space="preserve"> will end date the TEC registration.    </w:t>
      </w:r>
    </w:p>
    <w:p w14:paraId="2F1322A0" w14:textId="77777777" w:rsidR="005C2E53" w:rsidRDefault="005C2E53" w:rsidP="00974F23">
      <w:pPr>
        <w:pStyle w:val="ListParagraph"/>
        <w:numPr>
          <w:ilvl w:val="0"/>
          <w:numId w:val="2"/>
        </w:numPr>
        <w:ind w:hanging="218"/>
        <w:jc w:val="both"/>
      </w:pPr>
      <w:r w:rsidRPr="00F805A6">
        <w:rPr>
          <w:b/>
        </w:rPr>
        <w:t xml:space="preserve">My service is undergoing a change of address/ legal structure/ </w:t>
      </w:r>
      <w:proofErr w:type="gramStart"/>
      <w:r w:rsidRPr="00F805A6">
        <w:rPr>
          <w:b/>
        </w:rPr>
        <w:t>ownership..</w:t>
      </w:r>
      <w:proofErr w:type="gramEnd"/>
      <w:r w:rsidRPr="00F805A6">
        <w:rPr>
          <w:b/>
        </w:rPr>
        <w:t xml:space="preserve">  what should I do</w:t>
      </w:r>
      <w:r>
        <w:t>?</w:t>
      </w:r>
    </w:p>
    <w:p w14:paraId="0C24237A" w14:textId="6A026C98" w:rsidR="005C2E53" w:rsidRDefault="005C2E53" w:rsidP="005C2E53">
      <w:pPr>
        <w:ind w:left="720"/>
        <w:jc w:val="both"/>
      </w:pPr>
      <w:r>
        <w:t xml:space="preserve">If your service is undergoing a change of circumstance as listed above, the process will require that you create a Leaver for each registration for the old service, and re registering the same children </w:t>
      </w:r>
      <w:r w:rsidRPr="00F805A6">
        <w:rPr>
          <w:u w:val="single"/>
        </w:rPr>
        <w:t>and the same parent</w:t>
      </w:r>
      <w:r>
        <w:t xml:space="preserve"> against the new service in the next available savers management window</w:t>
      </w:r>
      <w:r w:rsidRPr="00F719EC">
        <w:t xml:space="preserve">. </w:t>
      </w:r>
      <w:proofErr w:type="spellStart"/>
      <w:r w:rsidRPr="00F719EC">
        <w:t>Pobal</w:t>
      </w:r>
      <w:proofErr w:type="spellEnd"/>
      <w:r w:rsidRPr="00F719EC">
        <w:t xml:space="preserve"> will ensure that that quotas allow for these </w:t>
      </w:r>
      <w:r w:rsidR="006B3433">
        <w:t xml:space="preserve">incoming </w:t>
      </w:r>
      <w:proofErr w:type="gramStart"/>
      <w:r w:rsidR="006B3433">
        <w:t>registrations, and</w:t>
      </w:r>
      <w:proofErr w:type="gramEnd"/>
      <w:r w:rsidR="00E52BA7">
        <w:t xml:space="preserve"> will allocate</w:t>
      </w:r>
      <w:r w:rsidR="006B3433">
        <w:t xml:space="preserve"> places to specific services. CCCs </w:t>
      </w:r>
      <w:r w:rsidRPr="00F719EC">
        <w:t>will review all registrations and if they are eligible savers, will approve as required.</w:t>
      </w:r>
    </w:p>
    <w:p w14:paraId="63F3161D" w14:textId="77777777" w:rsidR="005C2E53" w:rsidRPr="00F805A6" w:rsidRDefault="005C2E53" w:rsidP="0003207E">
      <w:pPr>
        <w:pStyle w:val="ListParagraph"/>
        <w:numPr>
          <w:ilvl w:val="0"/>
          <w:numId w:val="2"/>
        </w:numPr>
        <w:jc w:val="both"/>
        <w:rPr>
          <w:b/>
        </w:rPr>
      </w:pPr>
      <w:r w:rsidRPr="00F805A6">
        <w:rPr>
          <w:b/>
        </w:rPr>
        <w:t>I am closing my service.   Will my saver registrations be eligible to register in a new service?</w:t>
      </w:r>
    </w:p>
    <w:p w14:paraId="7FA43D09" w14:textId="77777777" w:rsidR="005C2E53" w:rsidRDefault="005C2E53" w:rsidP="005C2E53">
      <w:pPr>
        <w:ind w:left="720"/>
        <w:jc w:val="both"/>
      </w:pPr>
      <w:r>
        <w:t xml:space="preserve">Yes.  The saver status follows the child.  Once a child had a valid registration on </w:t>
      </w:r>
      <w:proofErr w:type="gramStart"/>
      <w:r>
        <w:t>February 14</w:t>
      </w:r>
      <w:r w:rsidRPr="00F805A6">
        <w:rPr>
          <w:vertAlign w:val="superscript"/>
        </w:rPr>
        <w:t>th</w:t>
      </w:r>
      <w:proofErr w:type="gramEnd"/>
      <w:r>
        <w:t xml:space="preserve"> they will be able to register in a new service throughout the year, providing they are registered with the same parent and on the same Programme Call. </w:t>
      </w:r>
    </w:p>
    <w:p w14:paraId="09914FD9" w14:textId="77777777" w:rsidR="005C2E53" w:rsidRDefault="005C2E53" w:rsidP="0003207E">
      <w:pPr>
        <w:pStyle w:val="ListParagraph"/>
        <w:numPr>
          <w:ilvl w:val="0"/>
          <w:numId w:val="2"/>
        </w:numPr>
        <w:jc w:val="both"/>
        <w:rPr>
          <w:b/>
        </w:rPr>
      </w:pPr>
      <w:r w:rsidRPr="00F805A6">
        <w:rPr>
          <w:b/>
        </w:rPr>
        <w:t>My service had a compliance visit and I am required to make amendments to registrations.  What should I do?</w:t>
      </w:r>
    </w:p>
    <w:p w14:paraId="26B0FF9D" w14:textId="77777777" w:rsidR="005C2E53" w:rsidRDefault="005C2E53" w:rsidP="005C2E53">
      <w:pPr>
        <w:ind w:left="720"/>
        <w:jc w:val="both"/>
      </w:pPr>
      <w:r>
        <w:t>You are required to complete the compliance amendments during the next savers management window.</w:t>
      </w:r>
    </w:p>
    <w:p w14:paraId="2BF1B946" w14:textId="77777777" w:rsidR="005C2E53" w:rsidRPr="00AA1DAA" w:rsidRDefault="005C2E53" w:rsidP="0003207E">
      <w:pPr>
        <w:pStyle w:val="ListParagraph"/>
        <w:numPr>
          <w:ilvl w:val="0"/>
          <w:numId w:val="2"/>
        </w:numPr>
        <w:jc w:val="both"/>
        <w:rPr>
          <w:b/>
          <w:u w:val="single"/>
        </w:rPr>
      </w:pPr>
      <w:r>
        <w:rPr>
          <w:b/>
        </w:rPr>
        <w:t>How do I make an amendment to an existing Registration during the current Savers Window?</w:t>
      </w:r>
    </w:p>
    <w:p w14:paraId="735D7317" w14:textId="77777777" w:rsidR="005C2E53" w:rsidRDefault="005C2E53" w:rsidP="005C2E53">
      <w:pPr>
        <w:pStyle w:val="ListParagraph"/>
        <w:jc w:val="both"/>
        <w:rPr>
          <w:b/>
        </w:rPr>
      </w:pPr>
    </w:p>
    <w:p w14:paraId="4C2BD19C" w14:textId="3CE538EE" w:rsidR="00EF7F09" w:rsidRDefault="005C2E53" w:rsidP="00340F6F">
      <w:pPr>
        <w:pStyle w:val="ListParagraph"/>
        <w:jc w:val="both"/>
      </w:pPr>
      <w:r>
        <w:t>The process for making amendments to existing Registrations remains as it was previously, including the requirement that you contact your local County Childcare Committee for the relevant number of places to be awarded.</w:t>
      </w:r>
    </w:p>
    <w:sectPr w:rsidR="00EF7F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B088" w14:textId="77777777" w:rsidR="00DE3E64" w:rsidRDefault="00DE3E64" w:rsidP="00EF7F09">
      <w:pPr>
        <w:spacing w:after="0" w:line="240" w:lineRule="auto"/>
      </w:pPr>
      <w:r>
        <w:separator/>
      </w:r>
    </w:p>
  </w:endnote>
  <w:endnote w:type="continuationSeparator" w:id="0">
    <w:p w14:paraId="7A888217" w14:textId="77777777" w:rsidR="00DE3E64" w:rsidRDefault="00DE3E64" w:rsidP="00EF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67A1" w14:textId="77777777" w:rsidR="00DE3E64" w:rsidRDefault="00DE3E64" w:rsidP="00EF7F09">
      <w:pPr>
        <w:spacing w:after="0" w:line="240" w:lineRule="auto"/>
      </w:pPr>
      <w:r>
        <w:separator/>
      </w:r>
    </w:p>
  </w:footnote>
  <w:footnote w:type="continuationSeparator" w:id="0">
    <w:p w14:paraId="7839B297" w14:textId="77777777" w:rsidR="00DE3E64" w:rsidRDefault="00DE3E64" w:rsidP="00EF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4513" w14:textId="36455C36" w:rsidR="00EF7F09" w:rsidRDefault="00EF7F09">
    <w:pPr>
      <w:pStyle w:val="Header"/>
    </w:pPr>
  </w:p>
  <w:p w14:paraId="1DEF42A2" w14:textId="7EDC1179" w:rsidR="00EF7F09" w:rsidRDefault="00EF7F09">
    <w:pPr>
      <w:pStyle w:val="Header"/>
    </w:pPr>
  </w:p>
  <w:p w14:paraId="5B9739E1" w14:textId="53944E5E" w:rsidR="00EF7F09" w:rsidRDefault="00EF7F09">
    <w:pPr>
      <w:pStyle w:val="Header"/>
    </w:pPr>
  </w:p>
  <w:p w14:paraId="7B8F5FFC" w14:textId="77777777" w:rsidR="00EF7F09" w:rsidRDefault="00EF7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83B"/>
    <w:multiLevelType w:val="hybridMultilevel"/>
    <w:tmpl w:val="5700317A"/>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B47BBA"/>
    <w:multiLevelType w:val="hybridMultilevel"/>
    <w:tmpl w:val="0AF01E08"/>
    <w:lvl w:ilvl="0" w:tplc="7856F830">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B57ABF"/>
    <w:multiLevelType w:val="hybridMultilevel"/>
    <w:tmpl w:val="8E00FFC0"/>
    <w:lvl w:ilvl="0" w:tplc="90CA1F3C">
      <w:start w:val="8"/>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3" w15:restartNumberingAfterBreak="0">
    <w:nsid w:val="6B8C25F6"/>
    <w:multiLevelType w:val="hybridMultilevel"/>
    <w:tmpl w:val="5700317A"/>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53"/>
    <w:rsid w:val="0003207E"/>
    <w:rsid w:val="00050E4A"/>
    <w:rsid w:val="00151ACC"/>
    <w:rsid w:val="00172644"/>
    <w:rsid w:val="001D34F4"/>
    <w:rsid w:val="001F1D81"/>
    <w:rsid w:val="00212D72"/>
    <w:rsid w:val="00215D1F"/>
    <w:rsid w:val="002516D2"/>
    <w:rsid w:val="00293CB4"/>
    <w:rsid w:val="00303E4E"/>
    <w:rsid w:val="00340F6F"/>
    <w:rsid w:val="003456B2"/>
    <w:rsid w:val="003A294C"/>
    <w:rsid w:val="003B3FCB"/>
    <w:rsid w:val="004E4697"/>
    <w:rsid w:val="004E6057"/>
    <w:rsid w:val="00513DEC"/>
    <w:rsid w:val="00597E7F"/>
    <w:rsid w:val="005C2E53"/>
    <w:rsid w:val="005D1C9F"/>
    <w:rsid w:val="006139CB"/>
    <w:rsid w:val="0068562B"/>
    <w:rsid w:val="006B3433"/>
    <w:rsid w:val="00742D02"/>
    <w:rsid w:val="00764E9F"/>
    <w:rsid w:val="0084496B"/>
    <w:rsid w:val="00943428"/>
    <w:rsid w:val="009558CE"/>
    <w:rsid w:val="00974F23"/>
    <w:rsid w:val="009908B4"/>
    <w:rsid w:val="009B6049"/>
    <w:rsid w:val="00AE2E8D"/>
    <w:rsid w:val="00B903E8"/>
    <w:rsid w:val="00B93A0F"/>
    <w:rsid w:val="00C40D01"/>
    <w:rsid w:val="00C75A3C"/>
    <w:rsid w:val="00CB0377"/>
    <w:rsid w:val="00D04A40"/>
    <w:rsid w:val="00D7170B"/>
    <w:rsid w:val="00D7559D"/>
    <w:rsid w:val="00D83CEE"/>
    <w:rsid w:val="00DE3E64"/>
    <w:rsid w:val="00E07C87"/>
    <w:rsid w:val="00E52BA7"/>
    <w:rsid w:val="00EF7F09"/>
    <w:rsid w:val="00F02521"/>
    <w:rsid w:val="00FD6584"/>
    <w:rsid w:val="00FE59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8D4F"/>
  <w15:chartTrackingRefBased/>
  <w15:docId w15:val="{7952A315-0DE8-41B5-9B75-88EEFCD2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53"/>
  </w:style>
  <w:style w:type="paragraph" w:styleId="Heading1">
    <w:name w:val="heading 1"/>
    <w:basedOn w:val="Normal"/>
    <w:next w:val="Normal"/>
    <w:link w:val="Heading1Char"/>
    <w:uiPriority w:val="9"/>
    <w:qFormat/>
    <w:rsid w:val="005C2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C2E53"/>
    <w:pPr>
      <w:ind w:left="720"/>
      <w:contextualSpacing/>
    </w:pPr>
  </w:style>
  <w:style w:type="table" w:styleId="TableGrid">
    <w:name w:val="Table Grid"/>
    <w:basedOn w:val="TableNormal"/>
    <w:uiPriority w:val="39"/>
    <w:rsid w:val="005C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2E53"/>
    <w:rPr>
      <w:sz w:val="16"/>
      <w:szCs w:val="16"/>
    </w:rPr>
  </w:style>
  <w:style w:type="paragraph" w:styleId="CommentText">
    <w:name w:val="annotation text"/>
    <w:basedOn w:val="Normal"/>
    <w:link w:val="CommentTextChar"/>
    <w:uiPriority w:val="99"/>
    <w:semiHidden/>
    <w:unhideWhenUsed/>
    <w:rsid w:val="005C2E53"/>
    <w:pPr>
      <w:spacing w:line="240" w:lineRule="auto"/>
    </w:pPr>
    <w:rPr>
      <w:sz w:val="20"/>
      <w:szCs w:val="20"/>
    </w:rPr>
  </w:style>
  <w:style w:type="character" w:customStyle="1" w:styleId="CommentTextChar">
    <w:name w:val="Comment Text Char"/>
    <w:basedOn w:val="DefaultParagraphFont"/>
    <w:link w:val="CommentText"/>
    <w:uiPriority w:val="99"/>
    <w:semiHidden/>
    <w:rsid w:val="005C2E53"/>
    <w:rPr>
      <w:sz w:val="20"/>
      <w:szCs w:val="20"/>
    </w:rPr>
  </w:style>
  <w:style w:type="paragraph" w:styleId="BalloonText">
    <w:name w:val="Balloon Text"/>
    <w:basedOn w:val="Normal"/>
    <w:link w:val="BalloonTextChar"/>
    <w:uiPriority w:val="99"/>
    <w:semiHidden/>
    <w:unhideWhenUsed/>
    <w:rsid w:val="005C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53"/>
    <w:rPr>
      <w:rFonts w:ascii="Segoe UI" w:hAnsi="Segoe UI" w:cs="Segoe UI"/>
      <w:sz w:val="18"/>
      <w:szCs w:val="18"/>
    </w:rPr>
  </w:style>
  <w:style w:type="paragraph" w:styleId="BodyText">
    <w:name w:val="Body Text"/>
    <w:basedOn w:val="Normal"/>
    <w:link w:val="BodyTextChar"/>
    <w:uiPriority w:val="1"/>
    <w:qFormat/>
    <w:rsid w:val="00212D72"/>
    <w:pPr>
      <w:widowControl w:val="0"/>
      <w:autoSpaceDE w:val="0"/>
      <w:autoSpaceDN w:val="0"/>
      <w:spacing w:after="0" w:line="240" w:lineRule="auto"/>
    </w:pPr>
    <w:rPr>
      <w:rFonts w:ascii="Calibri" w:eastAsia="Calibri" w:hAnsi="Calibri" w:cs="Calibri"/>
      <w:lang w:eastAsia="en-IE" w:bidi="en-IE"/>
    </w:rPr>
  </w:style>
  <w:style w:type="character" w:customStyle="1" w:styleId="BodyTextChar">
    <w:name w:val="Body Text Char"/>
    <w:basedOn w:val="DefaultParagraphFont"/>
    <w:link w:val="BodyText"/>
    <w:uiPriority w:val="1"/>
    <w:rsid w:val="00212D72"/>
    <w:rPr>
      <w:rFonts w:ascii="Calibri" w:eastAsia="Calibri" w:hAnsi="Calibri" w:cs="Calibri"/>
      <w:lang w:eastAsia="en-IE" w:bidi="en-IE"/>
    </w:rPr>
  </w:style>
  <w:style w:type="paragraph" w:styleId="Revision">
    <w:name w:val="Revision"/>
    <w:hidden/>
    <w:uiPriority w:val="99"/>
    <w:semiHidden/>
    <w:rsid w:val="0068562B"/>
    <w:pPr>
      <w:spacing w:after="0" w:line="240" w:lineRule="auto"/>
    </w:pPr>
  </w:style>
  <w:style w:type="paragraph" w:styleId="Header">
    <w:name w:val="header"/>
    <w:basedOn w:val="Normal"/>
    <w:link w:val="HeaderChar"/>
    <w:uiPriority w:val="99"/>
    <w:unhideWhenUsed/>
    <w:rsid w:val="00EF7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F09"/>
  </w:style>
  <w:style w:type="paragraph" w:styleId="Footer">
    <w:name w:val="footer"/>
    <w:basedOn w:val="Normal"/>
    <w:link w:val="FooterChar"/>
    <w:uiPriority w:val="99"/>
    <w:unhideWhenUsed/>
    <w:rsid w:val="00EF7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9409">
      <w:bodyDiv w:val="1"/>
      <w:marLeft w:val="0"/>
      <w:marRight w:val="0"/>
      <w:marTop w:val="0"/>
      <w:marBottom w:val="0"/>
      <w:divBdr>
        <w:top w:val="none" w:sz="0" w:space="0" w:color="auto"/>
        <w:left w:val="none" w:sz="0" w:space="0" w:color="auto"/>
        <w:bottom w:val="none" w:sz="0" w:space="0" w:color="auto"/>
        <w:right w:val="none" w:sz="0" w:space="0" w:color="auto"/>
      </w:divBdr>
    </w:div>
    <w:div w:id="1281496207">
      <w:bodyDiv w:val="1"/>
      <w:marLeft w:val="0"/>
      <w:marRight w:val="0"/>
      <w:marTop w:val="0"/>
      <w:marBottom w:val="0"/>
      <w:divBdr>
        <w:top w:val="none" w:sz="0" w:space="0" w:color="auto"/>
        <w:left w:val="none" w:sz="0" w:space="0" w:color="auto"/>
        <w:bottom w:val="none" w:sz="0" w:space="0" w:color="auto"/>
        <w:right w:val="none" w:sz="0" w:space="0" w:color="auto"/>
      </w:divBdr>
    </w:div>
    <w:div w:id="19052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620bd21-9e18-4991-8582-178980648f16">FAQ</Document_x0020_Type>
    <Programme_x0020_Call xmlns="0620bd21-9e18-4991-8582-178980648f16">ALL</Programme_x0020_Call>
    <Programme xmlns="0620bd21-9e18-4991-8582-178980648f16">TEC</Program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479AA1E39CD44BCBF356E2026B06F" ma:contentTypeVersion="6" ma:contentTypeDescription="Create a new document." ma:contentTypeScope="" ma:versionID="be856fa7a84460d2c92becec04d0c479">
  <xsd:schema xmlns:xsd="http://www.w3.org/2001/XMLSchema" xmlns:xs="http://www.w3.org/2001/XMLSchema" xmlns:p="http://schemas.microsoft.com/office/2006/metadata/properties" xmlns:ns2="0620bd21-9e18-4991-8582-178980648f16" targetNamespace="http://schemas.microsoft.com/office/2006/metadata/properties" ma:root="true" ma:fieldsID="88a3d7f476b7751b1c898f6b8dd8a739" ns2:_="">
    <xsd:import namespace="0620bd21-9e18-4991-8582-178980648f16"/>
    <xsd:element name="properties">
      <xsd:complexType>
        <xsd:sequence>
          <xsd:element name="documentManagement">
            <xsd:complexType>
              <xsd:all>
                <xsd:element ref="ns2:Document_x0020_Type"/>
                <xsd:element ref="ns2:Programme_x0020_Call" minOccurs="0"/>
                <xsd:element ref="ns2:Program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0bd21-9e18-4991-8582-178980648f16"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FAQ"/>
          <xsd:enumeration value="How to Guidance"/>
          <xsd:enumeration value="Information Pack"/>
          <xsd:enumeration value="How To Guide"/>
          <xsd:enumeration value="How to Video"/>
          <xsd:enumeration value="Programme Information"/>
          <xsd:enumeration value="CCS Service Declaration"/>
          <xsd:enumeration value="Pre-Registration Forms"/>
          <xsd:enumeration value="Letter to Parents"/>
          <xsd:enumeration value="Letter to Service Providers"/>
          <xsd:enumeration value="TEC Sign-In Sheets"/>
          <xsd:enumeration value="Consent Form"/>
          <xsd:enumeration value="Contracts 2016"/>
          <xsd:enumeration value="Contracts 2017"/>
          <xsd:enumeration value="Grant Agreements 2017"/>
          <xsd:enumeration value="Grant Agreements 2018"/>
          <xsd:enumeration value="Compliance"/>
          <xsd:enumeration value="General Information"/>
        </xsd:restriction>
      </xsd:simpleType>
    </xsd:element>
    <xsd:element name="Programme_x0020_Call" ma:index="3" nillable="true" ma:displayName="Programme Call" ma:default="ALL" ma:format="Dropdown" ma:internalName="Programme_x0020_Call">
      <xsd:simpleType>
        <xsd:restriction base="dms:Choice">
          <xsd:enumeration value="ALL"/>
          <xsd:enumeration value="ASCC 2016"/>
          <xsd:enumeration value="ASCC 2017"/>
          <xsd:enumeration value="ASCC 2018"/>
          <xsd:enumeration value="ASCC 2019"/>
          <xsd:enumeration value="ASCC 2020"/>
          <xsd:enumeration value="CEC (AS) 2016"/>
          <xsd:enumeration value="CEC (AS) 2017"/>
          <xsd:enumeration value="CEC (AS) 2018"/>
          <xsd:enumeration value="CEC (AS) 2019"/>
          <xsd:enumeration value="CEC (AS) 2020"/>
          <xsd:enumeration value="CEC (PS) 2016"/>
          <xsd:enumeration value="CEC (PS) 2017"/>
          <xsd:enumeration value="CEC (PS) 2018"/>
          <xsd:enumeration value="CEC (PS) 2019"/>
          <xsd:enumeration value="CEC (PS) 2020"/>
          <xsd:enumeration value="CETS 2016"/>
          <xsd:enumeration value="CETS 2017"/>
          <xsd:enumeration value="CETS 2018"/>
          <xsd:enumeration value="CETS 2019"/>
          <xsd:enumeration value="CETS 2020"/>
          <xsd:enumeration value="CCS 2016"/>
          <xsd:enumeration value="CCS 2017"/>
          <xsd:enumeration value="CCS 2018"/>
          <xsd:enumeration value="CCS 2019"/>
          <xsd:enumeration value="CCS 2020"/>
          <xsd:enumeration value="CCSP 2016"/>
          <xsd:enumeration value="CCSP 2017"/>
          <xsd:enumeration value="CCSP 2018"/>
          <xsd:enumeration value="CCSP 2019"/>
          <xsd:enumeration value="CCSP 2020"/>
          <xsd:enumeration value="ECCE 2016"/>
          <xsd:enumeration value="ECCE 2017"/>
          <xsd:enumeration value="ECCE 2018"/>
          <xsd:enumeration value="ECCE 2019"/>
          <xsd:enumeration value="ECCE 2020"/>
          <xsd:enumeration value="EYC 2018"/>
          <xsd:enumeration value="EYC 2019"/>
          <xsd:enumeration value="EYC 2020"/>
          <xsd:enumeration value="SAC 2018"/>
          <xsd:enumeration value="SAC 2019"/>
          <xsd:enumeration value="SAC 2020"/>
          <xsd:enumeration value="NCS 2019"/>
        </xsd:restriction>
      </xsd:simpleType>
    </xsd:element>
    <xsd:element name="Programme" ma:index="4" ma:displayName="Programme" ma:format="Dropdown" ma:internalName="Programme">
      <xsd:simpleType>
        <xsd:restriction base="dms:Choice">
          <xsd:enumeration value="ALL"/>
          <xsd:enumeration value="ECCE"/>
          <xsd:enumeration value="CETS"/>
          <xsd:enumeration value="CEC"/>
          <xsd:enumeration value="ASCC"/>
          <xsd:enumeration value="CCS"/>
          <xsd:enumeration value="CCSP"/>
          <xsd:enumeration value="TEC"/>
          <xsd:enumeration value="EYC"/>
          <xsd:enumeration value="Capital"/>
          <xsd:enumeration value="Learner Fund"/>
          <xsd:enumeration value="BetterStart / AIM"/>
          <xsd:enumeration value="SAC"/>
          <xsd:enumeration value="CCSRT"/>
          <xsd:enumeration value="CCSU"/>
          <xsd:enumeration value="N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61225-6122-4D30-BBC8-29D50742B17D}">
  <ds:schemaRefs>
    <ds:schemaRef ds:uri="http://schemas.microsoft.com/sharepoint/v3/contenttype/forms"/>
  </ds:schemaRefs>
</ds:datastoreItem>
</file>

<file path=customXml/itemProps2.xml><?xml version="1.0" encoding="utf-8"?>
<ds:datastoreItem xmlns:ds="http://schemas.openxmlformats.org/officeDocument/2006/customXml" ds:itemID="{8515A09D-5AE2-4196-A617-5E7876643173}">
  <ds:schemaRefs>
    <ds:schemaRef ds:uri="http://schemas.microsoft.com/office/2006/metadata/properties"/>
    <ds:schemaRef ds:uri="http://schemas.microsoft.com/office/infopath/2007/PartnerControls"/>
    <ds:schemaRef ds:uri="0620bd21-9e18-4991-8582-178980648f16"/>
  </ds:schemaRefs>
</ds:datastoreItem>
</file>

<file path=customXml/itemProps3.xml><?xml version="1.0" encoding="utf-8"?>
<ds:datastoreItem xmlns:ds="http://schemas.openxmlformats.org/officeDocument/2006/customXml" ds:itemID="{2F8323F1-EB76-40F5-986A-EBC6C6C1E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0bd21-9e18-4991-8582-178980648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 Savers 2020 FAQs</dc:title>
  <dc:subject/>
  <dc:creator>John Byrne</dc:creator>
  <cp:keywords/>
  <dc:description/>
  <cp:lastModifiedBy>Frances</cp:lastModifiedBy>
  <cp:revision>2</cp:revision>
  <dcterms:created xsi:type="dcterms:W3CDTF">2020-02-17T10:40:00Z</dcterms:created>
  <dcterms:modified xsi:type="dcterms:W3CDTF">2020-02-17T10:40:00Z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-1106185501</vt:i4>
  </property>
  <property fmtid="{D5CDD505-2E9C-101B-9397-08002B2CF9AE}" pid="3" name="ContentTypeId">
    <vt:lpwstr>0x010100F2B479AA1E39CD44BCBF356E2026B06F</vt:lpwstr>
  </property>
</Properties>
</file>